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30BB" w:rsidRDefault="00AA30BB">
      <w:pPr>
        <w:pBdr>
          <w:top w:val="nil"/>
          <w:left w:val="nil"/>
          <w:bottom w:val="nil"/>
          <w:right w:val="nil"/>
          <w:between w:val="nil"/>
        </w:pBdr>
      </w:pP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1235"/>
        <w:gridCol w:w="8045"/>
      </w:tblGrid>
      <w:tr w:rsidR="00AA30BB">
        <w:trPr>
          <w:trHeight w:val="560"/>
        </w:trPr>
        <w:tc>
          <w:tcPr>
            <w:tcW w:w="1235" w:type="dxa"/>
            <w:tcMar>
              <w:top w:w="100" w:type="dxa"/>
              <w:left w:w="100" w:type="dxa"/>
              <w:bottom w:w="100" w:type="dxa"/>
              <w:right w:w="100" w:type="dxa"/>
            </w:tcMar>
          </w:tcPr>
          <w:p w:rsidR="00AA30BB" w:rsidRDefault="00AA30BB"/>
        </w:tc>
        <w:tc>
          <w:tcPr>
            <w:tcW w:w="8045" w:type="dxa"/>
            <w:shd w:val="clear" w:color="auto" w:fill="auto"/>
            <w:tcMar>
              <w:top w:w="100" w:type="dxa"/>
              <w:left w:w="100" w:type="dxa"/>
              <w:bottom w:w="100" w:type="dxa"/>
              <w:right w:w="100" w:type="dxa"/>
            </w:tcMar>
          </w:tcPr>
          <w:p w:rsidR="00AA30BB" w:rsidRDefault="00285505">
            <w:r>
              <w:rPr>
                <w:noProof/>
              </w:rPr>
              <w:drawing>
                <wp:inline distT="114300" distB="114300" distL="114300" distR="114300">
                  <wp:extent cx="4752975" cy="457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752975" cy="457200"/>
                          </a:xfrm>
                          <a:prstGeom prst="rect">
                            <a:avLst/>
                          </a:prstGeom>
                          <a:ln/>
                        </pic:spPr>
                      </pic:pic>
                    </a:graphicData>
                  </a:graphic>
                </wp:inline>
              </w:drawing>
            </w:r>
          </w:p>
        </w:tc>
      </w:tr>
      <w:tr w:rsidR="00AA30BB">
        <w:trPr>
          <w:trHeight w:val="1280"/>
        </w:trPr>
        <w:tc>
          <w:tcPr>
            <w:tcW w:w="1235" w:type="dxa"/>
            <w:tcMar>
              <w:top w:w="100" w:type="dxa"/>
              <w:left w:w="100" w:type="dxa"/>
              <w:bottom w:w="100" w:type="dxa"/>
              <w:right w:w="100" w:type="dxa"/>
            </w:tcMar>
          </w:tcPr>
          <w:p w:rsidR="00AA30BB" w:rsidRDefault="00AA30BB"/>
        </w:tc>
        <w:tc>
          <w:tcPr>
            <w:tcW w:w="8045" w:type="dxa"/>
            <w:tcBorders>
              <w:top w:val="nil"/>
              <w:left w:val="nil"/>
              <w:bottom w:val="nil"/>
              <w:right w:val="nil"/>
            </w:tcBorders>
            <w:tcMar>
              <w:top w:w="100" w:type="dxa"/>
              <w:left w:w="100" w:type="dxa"/>
              <w:bottom w:w="100" w:type="dxa"/>
              <w:right w:w="100" w:type="dxa"/>
            </w:tcMar>
          </w:tcPr>
          <w:p w:rsidR="00AA30BB" w:rsidRDefault="00AA30BB"/>
          <w:tbl>
            <w:tblPr>
              <w:tblStyle w:val="a0"/>
              <w:tblW w:w="6710" w:type="dxa"/>
              <w:tblBorders>
                <w:top w:val="nil"/>
                <w:left w:val="nil"/>
                <w:bottom w:val="nil"/>
                <w:right w:val="nil"/>
                <w:insideH w:val="nil"/>
                <w:insideV w:val="nil"/>
              </w:tblBorders>
              <w:tblLayout w:type="fixed"/>
              <w:tblLook w:val="0600" w:firstRow="0" w:lastRow="0" w:firstColumn="0" w:lastColumn="0" w:noHBand="1" w:noVBand="1"/>
            </w:tblPr>
            <w:tblGrid>
              <w:gridCol w:w="6710"/>
            </w:tblGrid>
            <w:tr w:rsidR="00AA30BB">
              <w:trPr>
                <w:trHeight w:val="1280"/>
              </w:trPr>
              <w:tc>
                <w:tcPr>
                  <w:tcW w:w="6710" w:type="dxa"/>
                  <w:shd w:val="clear" w:color="auto" w:fill="auto"/>
                  <w:tcMar>
                    <w:top w:w="100" w:type="dxa"/>
                    <w:left w:w="100" w:type="dxa"/>
                    <w:bottom w:w="100" w:type="dxa"/>
                    <w:right w:w="100" w:type="dxa"/>
                  </w:tcMar>
                </w:tcPr>
                <w:p w:rsidR="00AA30BB" w:rsidRDefault="00285505">
                  <w:pPr>
                    <w:jc w:val="right"/>
                    <w:rPr>
                      <w:rFonts w:ascii="Georgia" w:eastAsia="Georgia" w:hAnsi="Georgia" w:cs="Georgia"/>
                      <w:sz w:val="20"/>
                      <w:szCs w:val="20"/>
                    </w:rPr>
                  </w:pPr>
                  <w:r>
                    <w:rPr>
                      <w:rFonts w:ascii="Georgia" w:eastAsia="Georgia" w:hAnsi="Georgia" w:cs="Georgia"/>
                      <w:sz w:val="20"/>
                      <w:szCs w:val="20"/>
                    </w:rPr>
                    <w:t>F-Wing 009, 101 Vera King Farris Drive, Galloway, NJ 08205</w:t>
                  </w:r>
                </w:p>
                <w:p w:rsidR="00AA30BB" w:rsidRDefault="00285505">
                  <w:pPr>
                    <w:jc w:val="right"/>
                    <w:rPr>
                      <w:rFonts w:ascii="Georgia" w:eastAsia="Georgia" w:hAnsi="Georgia" w:cs="Georgia"/>
                      <w:sz w:val="20"/>
                      <w:szCs w:val="20"/>
                    </w:rPr>
                  </w:pPr>
                  <w:r>
                    <w:rPr>
                      <w:rFonts w:ascii="Georgia" w:eastAsia="Georgia" w:hAnsi="Georgia" w:cs="Georgia"/>
                      <w:sz w:val="20"/>
                      <w:szCs w:val="20"/>
                    </w:rPr>
                    <w:t>609-652-4256(</w:t>
                  </w:r>
                  <w:proofErr w:type="gramStart"/>
                  <w:r>
                    <w:rPr>
                      <w:rFonts w:ascii="Georgia" w:eastAsia="Georgia" w:hAnsi="Georgia" w:cs="Georgia"/>
                      <w:sz w:val="20"/>
                      <w:szCs w:val="20"/>
                    </w:rPr>
                    <w:t>p)  609</w:t>
                  </w:r>
                  <w:proofErr w:type="gramEnd"/>
                  <w:r>
                    <w:rPr>
                      <w:rFonts w:ascii="Georgia" w:eastAsia="Georgia" w:hAnsi="Georgia" w:cs="Georgia"/>
                      <w:sz w:val="20"/>
                      <w:szCs w:val="20"/>
                    </w:rPr>
                    <w:t>-652-3467(f)   www.stockton.edu/servicelearning</w:t>
                  </w:r>
                </w:p>
              </w:tc>
            </w:tr>
          </w:tbl>
          <w:p w:rsidR="00AA30BB" w:rsidRDefault="00AA30BB"/>
        </w:tc>
      </w:tr>
    </w:tbl>
    <w:p w:rsidR="00AA30BB" w:rsidRDefault="00AA30BB">
      <w:pPr>
        <w:pBdr>
          <w:top w:val="nil"/>
          <w:left w:val="nil"/>
          <w:bottom w:val="nil"/>
          <w:right w:val="nil"/>
          <w:between w:val="nil"/>
        </w:pBdr>
      </w:pP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t>April 24, 2020</w:t>
      </w:r>
    </w:p>
    <w:p w:rsidR="00AA30BB" w:rsidRDefault="00AA30BB">
      <w:pPr>
        <w:widowControl w:val="0"/>
        <w:spacing w:line="240" w:lineRule="auto"/>
        <w:rPr>
          <w:rFonts w:ascii="Cantata One" w:eastAsia="Cantata One" w:hAnsi="Cantata One" w:cs="Cantata One"/>
          <w:sz w:val="20"/>
          <w:szCs w:val="20"/>
        </w:rPr>
      </w:pPr>
    </w:p>
    <w:p w:rsidR="00AA30BB" w:rsidRDefault="00AA30BB">
      <w:pPr>
        <w:widowControl w:val="0"/>
        <w:spacing w:line="240" w:lineRule="auto"/>
        <w:rPr>
          <w:rFonts w:ascii="Cantata One" w:eastAsia="Cantata One" w:hAnsi="Cantata One" w:cs="Cantata One"/>
          <w:sz w:val="20"/>
          <w:szCs w:val="20"/>
        </w:rPr>
      </w:pP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t>Dr. Saul Petersen, Executive Director</w:t>
      </w: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t>New Jersey Campus Compact</w:t>
      </w:r>
    </w:p>
    <w:p w:rsidR="00AA30BB" w:rsidRDefault="00285505">
      <w:pPr>
        <w:widowControl w:val="0"/>
        <w:pBdr>
          <w:top w:val="nil"/>
          <w:left w:val="nil"/>
          <w:bottom w:val="nil"/>
          <w:right w:val="nil"/>
          <w:between w:val="nil"/>
        </w:pBdr>
        <w:spacing w:line="240" w:lineRule="auto"/>
        <w:rPr>
          <w:rFonts w:ascii="Cantata One" w:eastAsia="Cantata One" w:hAnsi="Cantata One" w:cs="Cantata One"/>
          <w:sz w:val="20"/>
          <w:szCs w:val="20"/>
        </w:rPr>
      </w:pPr>
      <w:r>
        <w:rPr>
          <w:rFonts w:ascii="Cantata One" w:eastAsia="Cantata One" w:hAnsi="Cantata One" w:cs="Cantata One"/>
          <w:sz w:val="20"/>
          <w:szCs w:val="20"/>
        </w:rPr>
        <w:t>New Jersey City University</w:t>
      </w:r>
    </w:p>
    <w:p w:rsidR="00AA30BB" w:rsidRDefault="00285505">
      <w:pPr>
        <w:widowControl w:val="0"/>
        <w:pBdr>
          <w:top w:val="nil"/>
          <w:left w:val="nil"/>
          <w:bottom w:val="nil"/>
          <w:right w:val="nil"/>
          <w:between w:val="nil"/>
        </w:pBdr>
        <w:spacing w:line="240" w:lineRule="auto"/>
        <w:rPr>
          <w:rFonts w:ascii="Cantata One" w:eastAsia="Cantata One" w:hAnsi="Cantata One" w:cs="Cantata One"/>
          <w:sz w:val="20"/>
          <w:szCs w:val="20"/>
        </w:rPr>
      </w:pPr>
      <w:r>
        <w:rPr>
          <w:rFonts w:ascii="Cantata One" w:eastAsia="Cantata One" w:hAnsi="Cantata One" w:cs="Cantata One"/>
          <w:sz w:val="20"/>
          <w:szCs w:val="20"/>
        </w:rPr>
        <w:t>Gilligan Student Union Building, Room 316</w:t>
      </w:r>
    </w:p>
    <w:p w:rsidR="00AA30BB" w:rsidRDefault="00285505">
      <w:pPr>
        <w:widowControl w:val="0"/>
        <w:pBdr>
          <w:top w:val="nil"/>
          <w:left w:val="nil"/>
          <w:bottom w:val="nil"/>
          <w:right w:val="nil"/>
          <w:between w:val="nil"/>
        </w:pBdr>
        <w:spacing w:line="240" w:lineRule="auto"/>
        <w:rPr>
          <w:rFonts w:ascii="Cantata One" w:eastAsia="Cantata One" w:hAnsi="Cantata One" w:cs="Cantata One"/>
          <w:sz w:val="20"/>
          <w:szCs w:val="20"/>
        </w:rPr>
      </w:pPr>
      <w:r>
        <w:rPr>
          <w:rFonts w:ascii="Cantata One" w:eastAsia="Cantata One" w:hAnsi="Cantata One" w:cs="Cantata One"/>
          <w:sz w:val="20"/>
          <w:szCs w:val="20"/>
        </w:rPr>
        <w:t>2039 Kennedy Boulevard</w:t>
      </w:r>
    </w:p>
    <w:p w:rsidR="00AA30BB" w:rsidRDefault="00285505">
      <w:pPr>
        <w:widowControl w:val="0"/>
        <w:pBdr>
          <w:top w:val="nil"/>
          <w:left w:val="nil"/>
          <w:bottom w:val="nil"/>
          <w:right w:val="nil"/>
          <w:between w:val="nil"/>
        </w:pBdr>
        <w:spacing w:line="240" w:lineRule="auto"/>
        <w:rPr>
          <w:rFonts w:ascii="Cantata One" w:eastAsia="Cantata One" w:hAnsi="Cantata One" w:cs="Cantata One"/>
          <w:sz w:val="20"/>
          <w:szCs w:val="20"/>
        </w:rPr>
      </w:pPr>
      <w:r>
        <w:rPr>
          <w:rFonts w:ascii="Cantata One" w:eastAsia="Cantata One" w:hAnsi="Cantata One" w:cs="Cantata One"/>
          <w:sz w:val="20"/>
          <w:szCs w:val="20"/>
        </w:rPr>
        <w:t>Jersey City, NJ 07305-1597</w:t>
      </w:r>
    </w:p>
    <w:p w:rsidR="00AA30BB" w:rsidRDefault="00AA30BB">
      <w:pPr>
        <w:widowControl w:val="0"/>
        <w:spacing w:line="240" w:lineRule="auto"/>
        <w:rPr>
          <w:rFonts w:ascii="Cantata One" w:eastAsia="Cantata One" w:hAnsi="Cantata One" w:cs="Cantata One"/>
          <w:sz w:val="20"/>
          <w:szCs w:val="20"/>
        </w:rPr>
      </w:pPr>
    </w:p>
    <w:p w:rsidR="00AA30BB" w:rsidRDefault="00AA30BB">
      <w:pPr>
        <w:widowControl w:val="0"/>
        <w:spacing w:line="240" w:lineRule="auto"/>
        <w:rPr>
          <w:rFonts w:ascii="Cantata One" w:eastAsia="Cantata One" w:hAnsi="Cantata One" w:cs="Cantata One"/>
          <w:sz w:val="20"/>
          <w:szCs w:val="20"/>
        </w:rPr>
      </w:pP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t xml:space="preserve">Re: Recommendation for Ms. Hope </w:t>
      </w:r>
      <w:proofErr w:type="spellStart"/>
      <w:r>
        <w:rPr>
          <w:rFonts w:ascii="Cantata One" w:eastAsia="Cantata One" w:hAnsi="Cantata One" w:cs="Cantata One"/>
          <w:sz w:val="20"/>
          <w:szCs w:val="20"/>
        </w:rPr>
        <w:t>Andrescavage</w:t>
      </w:r>
      <w:proofErr w:type="spellEnd"/>
    </w:p>
    <w:p w:rsidR="00AA30BB" w:rsidRDefault="00AA30BB">
      <w:pPr>
        <w:widowControl w:val="0"/>
        <w:spacing w:line="240" w:lineRule="auto"/>
        <w:rPr>
          <w:rFonts w:ascii="Cantata One" w:eastAsia="Cantata One" w:hAnsi="Cantata One" w:cs="Cantata One"/>
          <w:sz w:val="20"/>
          <w:szCs w:val="20"/>
        </w:rPr>
      </w:pPr>
    </w:p>
    <w:p w:rsidR="00AA30BB" w:rsidRDefault="00AA30BB">
      <w:pPr>
        <w:widowControl w:val="0"/>
        <w:spacing w:line="240" w:lineRule="auto"/>
        <w:rPr>
          <w:rFonts w:ascii="Cantata One" w:eastAsia="Cantata One" w:hAnsi="Cantata One" w:cs="Cantata One"/>
          <w:sz w:val="20"/>
          <w:szCs w:val="20"/>
        </w:rPr>
      </w:pP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t>Dear Dr. Petersen:</w:t>
      </w:r>
    </w:p>
    <w:p w:rsidR="00AA30BB" w:rsidRDefault="00AA30BB">
      <w:pPr>
        <w:widowControl w:val="0"/>
        <w:spacing w:line="240" w:lineRule="auto"/>
        <w:rPr>
          <w:rFonts w:ascii="Cantata One" w:eastAsia="Cantata One" w:hAnsi="Cantata One" w:cs="Cantata One"/>
          <w:sz w:val="20"/>
          <w:szCs w:val="20"/>
        </w:rPr>
      </w:pPr>
    </w:p>
    <w:p w:rsidR="00AA30BB" w:rsidRDefault="00AA30BB">
      <w:pPr>
        <w:widowControl w:val="0"/>
        <w:spacing w:line="240" w:lineRule="auto"/>
        <w:rPr>
          <w:rFonts w:ascii="Cantata One" w:eastAsia="Cantata One" w:hAnsi="Cantata One" w:cs="Cantata One"/>
          <w:sz w:val="20"/>
          <w:szCs w:val="20"/>
        </w:rPr>
      </w:pPr>
      <w:bookmarkStart w:id="0" w:name="_x0jfzf5o8qs4" w:colFirst="0" w:colLast="0"/>
      <w:bookmarkEnd w:id="0"/>
    </w:p>
    <w:p w:rsidR="00AA30BB" w:rsidRDefault="00285505">
      <w:pPr>
        <w:widowControl w:val="0"/>
        <w:spacing w:line="240" w:lineRule="auto"/>
        <w:rPr>
          <w:rFonts w:ascii="Cantata One" w:eastAsia="Cantata One" w:hAnsi="Cantata One" w:cs="Cantata One"/>
          <w:sz w:val="20"/>
          <w:szCs w:val="20"/>
        </w:rPr>
      </w:pPr>
      <w:bookmarkStart w:id="1" w:name="_gjdgxs" w:colFirst="0" w:colLast="0"/>
      <w:bookmarkEnd w:id="1"/>
      <w:r>
        <w:rPr>
          <w:rFonts w:ascii="Cantata One" w:eastAsia="Cantata One" w:hAnsi="Cantata One" w:cs="Cantata One"/>
          <w:sz w:val="20"/>
          <w:szCs w:val="20"/>
        </w:rPr>
        <w:t xml:space="preserve">It is with great pleasure that I recommend Ms. Hope </w:t>
      </w:r>
      <w:proofErr w:type="spellStart"/>
      <w:r>
        <w:rPr>
          <w:rFonts w:ascii="Cantata One" w:eastAsia="Cantata One" w:hAnsi="Cantata One" w:cs="Cantata One"/>
          <w:sz w:val="20"/>
          <w:szCs w:val="20"/>
        </w:rPr>
        <w:t>Andrescavage</w:t>
      </w:r>
      <w:proofErr w:type="spellEnd"/>
      <w:r>
        <w:rPr>
          <w:rFonts w:ascii="Cantata One" w:eastAsia="Cantata One" w:hAnsi="Cantata One" w:cs="Cantata One"/>
          <w:sz w:val="20"/>
          <w:szCs w:val="20"/>
        </w:rPr>
        <w:t xml:space="preserve"> as</w:t>
      </w:r>
      <w:r>
        <w:rPr>
          <w:rFonts w:ascii="Cantata One" w:eastAsia="Cantata One" w:hAnsi="Cantata One" w:cs="Cantata One"/>
          <w:sz w:val="20"/>
          <w:szCs w:val="20"/>
        </w:rPr>
        <w:t xml:space="preserve"> a recipient of The </w:t>
      </w:r>
      <w:proofErr w:type="spellStart"/>
      <w:r>
        <w:rPr>
          <w:rFonts w:ascii="Cantata One" w:eastAsia="Cantata One" w:hAnsi="Cantata One" w:cs="Cantata One"/>
          <w:sz w:val="20"/>
          <w:szCs w:val="20"/>
        </w:rPr>
        <w:t>Changebuilder</w:t>
      </w:r>
      <w:proofErr w:type="spellEnd"/>
      <w:r>
        <w:rPr>
          <w:rFonts w:ascii="Cantata One" w:eastAsia="Cantata One" w:hAnsi="Cantata One" w:cs="Cantata One"/>
          <w:sz w:val="20"/>
          <w:szCs w:val="20"/>
        </w:rPr>
        <w:t xml:space="preserve"> Program Scholarship Award.</w:t>
      </w:r>
    </w:p>
    <w:p w:rsidR="00AA30BB" w:rsidRDefault="00AA30BB">
      <w:pPr>
        <w:widowControl w:val="0"/>
        <w:spacing w:line="240" w:lineRule="auto"/>
        <w:rPr>
          <w:rFonts w:ascii="Cantata One" w:eastAsia="Cantata One" w:hAnsi="Cantata One" w:cs="Cantata One"/>
          <w:sz w:val="20"/>
          <w:szCs w:val="20"/>
        </w:rPr>
      </w:pP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t xml:space="preserve">I have known Hope since she started as a </w:t>
      </w:r>
      <w:proofErr w:type="spellStart"/>
      <w:r>
        <w:rPr>
          <w:rFonts w:ascii="Cantata One" w:eastAsia="Cantata One" w:hAnsi="Cantata One" w:cs="Cantata One"/>
          <w:sz w:val="20"/>
          <w:szCs w:val="20"/>
        </w:rPr>
        <w:t>Changebuilder</w:t>
      </w:r>
      <w:proofErr w:type="spellEnd"/>
      <w:r>
        <w:rPr>
          <w:rFonts w:ascii="Cantata One" w:eastAsia="Cantata One" w:hAnsi="Cantata One" w:cs="Cantata One"/>
          <w:sz w:val="20"/>
          <w:szCs w:val="20"/>
        </w:rPr>
        <w:t xml:space="preserve"> last year, her first year at Stockton University.  She is attentive to detail, eager to learn, and participates and is engaged in her servi</w:t>
      </w:r>
      <w:r>
        <w:rPr>
          <w:rFonts w:ascii="Cantata One" w:eastAsia="Cantata One" w:hAnsi="Cantata One" w:cs="Cantata One"/>
          <w:sz w:val="20"/>
          <w:szCs w:val="20"/>
        </w:rPr>
        <w:t>ce work at the Salvation Army in Atlantic City.  One of the qualities that I most appreciate about Hope is that she is not afraid to ask for support and to get clarification when she is confused or unsure about something.  Hope is committed to her communit</w:t>
      </w:r>
      <w:r>
        <w:rPr>
          <w:rFonts w:ascii="Cantata One" w:eastAsia="Cantata One" w:hAnsi="Cantata One" w:cs="Cantata One"/>
          <w:sz w:val="20"/>
          <w:szCs w:val="20"/>
        </w:rPr>
        <w:t>y -- currently Atlantic City, where she lives and attends Stockton University -- and elevating the voices of people marginalized by poverty and mental illness.</w:t>
      </w:r>
    </w:p>
    <w:p w:rsidR="00AA30BB" w:rsidRDefault="00AA30BB">
      <w:pPr>
        <w:widowControl w:val="0"/>
        <w:spacing w:line="240" w:lineRule="auto"/>
        <w:rPr>
          <w:rFonts w:ascii="Cantata One" w:eastAsia="Cantata One" w:hAnsi="Cantata One" w:cs="Cantata One"/>
          <w:sz w:val="20"/>
          <w:szCs w:val="20"/>
        </w:rPr>
      </w:pP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t>At Stockton University, students have the choice to become part of the EOF cohort on the main c</w:t>
      </w:r>
      <w:r>
        <w:rPr>
          <w:rFonts w:ascii="Cantata One" w:eastAsia="Cantata One" w:hAnsi="Cantata One" w:cs="Cantata One"/>
          <w:sz w:val="20"/>
          <w:szCs w:val="20"/>
        </w:rPr>
        <w:t>ampus or to join the Atlantic City cohort, which has a higher service expectation and commitment to the city.  Hope was excited to engage in place-based solutions that focus on Atlantic City, and has participated in several service-learning projects that c</w:t>
      </w:r>
      <w:r>
        <w:rPr>
          <w:rFonts w:ascii="Cantata One" w:eastAsia="Cantata One" w:hAnsi="Cantata One" w:cs="Cantata One"/>
          <w:sz w:val="20"/>
          <w:szCs w:val="20"/>
        </w:rPr>
        <w:t xml:space="preserve">ombine her personal experiences as a child growing up in foster care and service to her community.  As a </w:t>
      </w:r>
      <w:proofErr w:type="gramStart"/>
      <w:r>
        <w:rPr>
          <w:rFonts w:ascii="Cantata One" w:eastAsia="Cantata One" w:hAnsi="Cantata One" w:cs="Cantata One"/>
          <w:sz w:val="20"/>
          <w:szCs w:val="20"/>
        </w:rPr>
        <w:t>first generation</w:t>
      </w:r>
      <w:proofErr w:type="gramEnd"/>
      <w:r>
        <w:rPr>
          <w:rFonts w:ascii="Cantata One" w:eastAsia="Cantata One" w:hAnsi="Cantata One" w:cs="Cantata One"/>
          <w:sz w:val="20"/>
          <w:szCs w:val="20"/>
        </w:rPr>
        <w:t xml:space="preserve"> college student, Hope does not take for granted access to resources, including health care.  She has completed many projects with the </w:t>
      </w:r>
      <w:r>
        <w:rPr>
          <w:rFonts w:ascii="Cantata One" w:eastAsia="Cantata One" w:hAnsi="Cantata One" w:cs="Cantata One"/>
          <w:sz w:val="20"/>
          <w:szCs w:val="20"/>
        </w:rPr>
        <w:t>Salvation Army in Atlantic City, helping to advocate for and support members of the Atlantic City community that are working hard to get basic needs met.</w:t>
      </w:r>
    </w:p>
    <w:p w:rsidR="00AA30BB" w:rsidRDefault="00AA30BB">
      <w:pPr>
        <w:widowControl w:val="0"/>
        <w:spacing w:line="240" w:lineRule="auto"/>
        <w:rPr>
          <w:rFonts w:ascii="Cantata One" w:eastAsia="Cantata One" w:hAnsi="Cantata One" w:cs="Cantata One"/>
          <w:sz w:val="20"/>
          <w:szCs w:val="20"/>
        </w:rPr>
      </w:pP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t xml:space="preserve">One of the things that I really respect about Hope is her commitment to the people of Atlantic City. </w:t>
      </w:r>
      <w:r>
        <w:rPr>
          <w:rFonts w:ascii="Cantata One" w:eastAsia="Cantata One" w:hAnsi="Cantata One" w:cs="Cantata One"/>
          <w:sz w:val="20"/>
          <w:szCs w:val="20"/>
        </w:rPr>
        <w:t xml:space="preserve"> As she grows and develops in the computer science field, she will become an asset to the place she has adopted as her community because of this commitment.  She will be a tribute to the EOF Program at Stockton University, and especially to the Atlantic Ci</w:t>
      </w:r>
      <w:r>
        <w:rPr>
          <w:rFonts w:ascii="Cantata One" w:eastAsia="Cantata One" w:hAnsi="Cantata One" w:cs="Cantata One"/>
          <w:sz w:val="20"/>
          <w:szCs w:val="20"/>
        </w:rPr>
        <w:t xml:space="preserve">ty cohort.  It is my intense belief that Hope deserves the recognition that the </w:t>
      </w:r>
      <w:proofErr w:type="spellStart"/>
      <w:r>
        <w:rPr>
          <w:rFonts w:ascii="Cantata One" w:eastAsia="Cantata One" w:hAnsi="Cantata One" w:cs="Cantata One"/>
          <w:sz w:val="20"/>
          <w:szCs w:val="20"/>
        </w:rPr>
        <w:t>Changebuilders</w:t>
      </w:r>
      <w:proofErr w:type="spellEnd"/>
      <w:r>
        <w:rPr>
          <w:rFonts w:ascii="Cantata One" w:eastAsia="Cantata One" w:hAnsi="Cantata One" w:cs="Cantata One"/>
          <w:sz w:val="20"/>
          <w:szCs w:val="20"/>
        </w:rPr>
        <w:t xml:space="preserve"> Program Scholarship would provide her with.</w:t>
      </w:r>
    </w:p>
    <w:p w:rsidR="00AA30BB" w:rsidRDefault="00AA30BB">
      <w:pPr>
        <w:widowControl w:val="0"/>
        <w:spacing w:line="240" w:lineRule="auto"/>
        <w:rPr>
          <w:rFonts w:ascii="Cantata One" w:eastAsia="Cantata One" w:hAnsi="Cantata One" w:cs="Cantata One"/>
          <w:sz w:val="20"/>
          <w:szCs w:val="20"/>
        </w:rPr>
      </w:pPr>
    </w:p>
    <w:p w:rsidR="00AA30BB" w:rsidRDefault="00AA30BB">
      <w:pPr>
        <w:widowControl w:val="0"/>
        <w:spacing w:line="240" w:lineRule="auto"/>
        <w:rPr>
          <w:rFonts w:ascii="Cantata One" w:eastAsia="Cantata One" w:hAnsi="Cantata One" w:cs="Cantata One"/>
          <w:sz w:val="20"/>
          <w:szCs w:val="20"/>
        </w:rPr>
      </w:pPr>
    </w:p>
    <w:p w:rsidR="00AA30BB" w:rsidRDefault="00AA30BB">
      <w:pPr>
        <w:widowControl w:val="0"/>
        <w:spacing w:line="240" w:lineRule="auto"/>
        <w:rPr>
          <w:rFonts w:ascii="Cantata One" w:eastAsia="Cantata One" w:hAnsi="Cantata One" w:cs="Cantata One"/>
          <w:sz w:val="20"/>
          <w:szCs w:val="20"/>
        </w:rPr>
      </w:pPr>
    </w:p>
    <w:p w:rsidR="00AA30BB" w:rsidRDefault="00AA30BB">
      <w:pPr>
        <w:widowControl w:val="0"/>
        <w:spacing w:line="240" w:lineRule="auto"/>
        <w:rPr>
          <w:rFonts w:ascii="Cantata One" w:eastAsia="Cantata One" w:hAnsi="Cantata One" w:cs="Cantata One"/>
          <w:sz w:val="20"/>
          <w:szCs w:val="20"/>
        </w:rPr>
      </w:pPr>
    </w:p>
    <w:p w:rsidR="00AA30BB" w:rsidRDefault="00AA30BB">
      <w:pPr>
        <w:widowControl w:val="0"/>
        <w:spacing w:line="240" w:lineRule="auto"/>
        <w:rPr>
          <w:rFonts w:ascii="Cantata One" w:eastAsia="Cantata One" w:hAnsi="Cantata One" w:cs="Cantata One"/>
          <w:sz w:val="20"/>
          <w:szCs w:val="20"/>
        </w:rPr>
      </w:pP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t xml:space="preserve">Again, it is my pleasure to recommend Ms. Hope </w:t>
      </w:r>
      <w:proofErr w:type="spellStart"/>
      <w:r>
        <w:rPr>
          <w:rFonts w:ascii="Cantata One" w:eastAsia="Cantata One" w:hAnsi="Cantata One" w:cs="Cantata One"/>
          <w:sz w:val="20"/>
          <w:szCs w:val="20"/>
        </w:rPr>
        <w:t>Andrescavage</w:t>
      </w:r>
      <w:proofErr w:type="spellEnd"/>
      <w:r>
        <w:rPr>
          <w:rFonts w:ascii="Cantata One" w:eastAsia="Cantata One" w:hAnsi="Cantata One" w:cs="Cantata One"/>
          <w:sz w:val="20"/>
          <w:szCs w:val="20"/>
        </w:rPr>
        <w:t xml:space="preserve"> for consideration of the </w:t>
      </w:r>
      <w:proofErr w:type="spellStart"/>
      <w:r>
        <w:rPr>
          <w:rFonts w:ascii="Cantata One" w:eastAsia="Cantata One" w:hAnsi="Cantata One" w:cs="Cantata One"/>
          <w:sz w:val="20"/>
          <w:szCs w:val="20"/>
        </w:rPr>
        <w:t>Changebuilders</w:t>
      </w:r>
      <w:proofErr w:type="spellEnd"/>
      <w:r>
        <w:rPr>
          <w:rFonts w:ascii="Cantata One" w:eastAsia="Cantata One" w:hAnsi="Cantata One" w:cs="Cantata One"/>
          <w:sz w:val="20"/>
          <w:szCs w:val="20"/>
        </w:rPr>
        <w:t xml:space="preserve"> Program Scholarship.</w:t>
      </w:r>
    </w:p>
    <w:p w:rsidR="00AA30BB" w:rsidRDefault="00AA30BB">
      <w:pPr>
        <w:widowControl w:val="0"/>
        <w:spacing w:line="240" w:lineRule="auto"/>
        <w:rPr>
          <w:rFonts w:ascii="Cantata One" w:eastAsia="Cantata One" w:hAnsi="Cantata One" w:cs="Cantata One"/>
          <w:sz w:val="20"/>
          <w:szCs w:val="20"/>
        </w:rPr>
      </w:pP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t>Sincerely,</w:t>
      </w:r>
    </w:p>
    <w:p w:rsidR="00AA30BB" w:rsidRDefault="00AA30BB">
      <w:pPr>
        <w:widowControl w:val="0"/>
        <w:spacing w:line="240" w:lineRule="auto"/>
        <w:rPr>
          <w:rFonts w:ascii="Cantata One" w:eastAsia="Cantata One" w:hAnsi="Cantata One" w:cs="Cantata One"/>
          <w:sz w:val="20"/>
          <w:szCs w:val="20"/>
        </w:rPr>
      </w:pP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noProof/>
          <w:sz w:val="20"/>
          <w:szCs w:val="20"/>
        </w:rPr>
        <w:drawing>
          <wp:inline distT="114300" distB="114300" distL="114300" distR="114300">
            <wp:extent cx="1706122" cy="3476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06122" cy="347663"/>
                    </a:xfrm>
                    <a:prstGeom prst="rect">
                      <a:avLst/>
                    </a:prstGeom>
                    <a:ln/>
                  </pic:spPr>
                </pic:pic>
              </a:graphicData>
            </a:graphic>
          </wp:inline>
        </w:drawing>
      </w: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br/>
        <w:t>Erin O’Hanlon, MA</w:t>
      </w: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t>Senior Program Coordinator</w:t>
      </w: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t>Office of Service-Learning, Stockton University</w:t>
      </w:r>
    </w:p>
    <w:p w:rsidR="00AA30BB" w:rsidRDefault="00AA30BB">
      <w:pPr>
        <w:widowControl w:val="0"/>
        <w:spacing w:line="240" w:lineRule="auto"/>
        <w:rPr>
          <w:rFonts w:ascii="Cantata One" w:eastAsia="Cantata One" w:hAnsi="Cantata One" w:cs="Cantata One"/>
          <w:sz w:val="20"/>
          <w:szCs w:val="20"/>
        </w:rPr>
      </w:pP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t>Adjunct Faculty,</w:t>
      </w:r>
    </w:p>
    <w:p w:rsidR="00AA30BB" w:rsidRDefault="00285505">
      <w:pPr>
        <w:widowControl w:val="0"/>
        <w:spacing w:line="240" w:lineRule="auto"/>
        <w:rPr>
          <w:rFonts w:ascii="Cantata One" w:eastAsia="Cantata One" w:hAnsi="Cantata One" w:cs="Cantata One"/>
          <w:sz w:val="20"/>
          <w:szCs w:val="20"/>
        </w:rPr>
      </w:pPr>
      <w:r>
        <w:rPr>
          <w:rFonts w:ascii="Cantata One" w:eastAsia="Cantata One" w:hAnsi="Cantata One" w:cs="Cantata One"/>
          <w:sz w:val="20"/>
          <w:szCs w:val="20"/>
        </w:rPr>
        <w:t>Communic</w:t>
      </w:r>
      <w:r>
        <w:rPr>
          <w:rFonts w:ascii="Cantata One" w:eastAsia="Cantata One" w:hAnsi="Cantata One" w:cs="Cantata One"/>
          <w:sz w:val="20"/>
          <w:szCs w:val="20"/>
        </w:rPr>
        <w:t>ation Studies Program</w:t>
      </w:r>
    </w:p>
    <w:p w:rsidR="00AA30BB" w:rsidRDefault="00AA30BB">
      <w:pPr>
        <w:widowControl w:val="0"/>
        <w:spacing w:line="240" w:lineRule="auto"/>
        <w:rPr>
          <w:rFonts w:ascii="Cantata One" w:eastAsia="Cantata One" w:hAnsi="Cantata One" w:cs="Cantata One"/>
          <w:sz w:val="20"/>
          <w:szCs w:val="20"/>
        </w:rPr>
      </w:pPr>
    </w:p>
    <w:p w:rsidR="00AA30BB" w:rsidRDefault="00AA30BB">
      <w:pPr>
        <w:widowControl w:val="0"/>
        <w:spacing w:line="240" w:lineRule="auto"/>
        <w:rPr>
          <w:rFonts w:ascii="Cantata One" w:eastAsia="Cantata One" w:hAnsi="Cantata One" w:cs="Cantata One"/>
          <w:sz w:val="20"/>
          <w:szCs w:val="20"/>
        </w:rPr>
      </w:pPr>
    </w:p>
    <w:p w:rsidR="00AA30BB" w:rsidRDefault="00AA30BB">
      <w:pPr>
        <w:pBdr>
          <w:top w:val="nil"/>
          <w:left w:val="nil"/>
          <w:bottom w:val="nil"/>
          <w:right w:val="nil"/>
          <w:between w:val="nil"/>
        </w:pBdr>
      </w:pPr>
    </w:p>
    <w:p w:rsidR="00AA30BB" w:rsidRDefault="00AA30BB">
      <w:pPr>
        <w:pBdr>
          <w:top w:val="nil"/>
          <w:left w:val="nil"/>
          <w:bottom w:val="nil"/>
          <w:right w:val="nil"/>
          <w:between w:val="nil"/>
        </w:pBdr>
      </w:pPr>
    </w:p>
    <w:sectPr w:rsidR="00AA30B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tata On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BB"/>
    <w:rsid w:val="00285505"/>
    <w:rsid w:val="00AA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4A6F3-FED5-4D38-A630-7F2713D9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2281</Characters>
  <Application>Microsoft Office Word</Application>
  <DocSecurity>0</DocSecurity>
  <Lines>108</Lines>
  <Paragraphs>56</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Petersen</dc:creator>
  <cp:lastModifiedBy>Saul Petersen</cp:lastModifiedBy>
  <cp:revision>2</cp:revision>
  <dcterms:created xsi:type="dcterms:W3CDTF">2020-04-28T16:00:00Z</dcterms:created>
  <dcterms:modified xsi:type="dcterms:W3CDTF">2020-04-28T16:00:00Z</dcterms:modified>
</cp:coreProperties>
</file>